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C39C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061A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30ECA6E" wp14:editId="7978CC8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183B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ED82B46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601040E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00056EF2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6B7DF5EE" w14:textId="77777777" w:rsidR="00B10F96" w:rsidRPr="00D061AF" w:rsidRDefault="00B10F96" w:rsidP="00B10F9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5A509842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60EDF9DC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4975D9E" w14:textId="4771C54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r w:rsidR="00CE6C6E" w:rsidRPr="00CE6C6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11</w:t>
      </w:r>
      <w:r w:rsidRPr="00CE6C6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40369B" w:rsidRPr="00CE6C6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мая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40369B"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</w:t>
      </w:r>
      <w:r w:rsidR="0040369B"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CE6C6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874</w:t>
      </w:r>
      <w:r w:rsidR="001341B6"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40369B" w:rsidRPr="00D061AF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 xml:space="preserve">    </w:t>
      </w:r>
    </w:p>
    <w:p w14:paraId="5DEF3111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C3A3BA2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2473156C" w14:textId="77777777" w:rsidR="00D061AF" w:rsidRPr="00D061AF" w:rsidRDefault="00D061AF" w:rsidP="00D061AF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2BF61FF" w14:textId="77777777" w:rsidR="002E27B5" w:rsidRPr="00D061AF" w:rsidRDefault="002E27B5" w:rsidP="002E27B5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О внесении изменений в муниципальную программу </w:t>
      </w:r>
    </w:p>
    <w:p w14:paraId="731F5065" w14:textId="5C241C9C" w:rsidR="002E27B5" w:rsidRPr="00D061AF" w:rsidRDefault="002E27B5" w:rsidP="002E27B5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</w:t>
      </w:r>
      <w:r w:rsidR="0040369B" w:rsidRPr="00D061AF">
        <w:rPr>
          <w:rFonts w:ascii="PT Astra Serif" w:hAnsi="PT Astra Serif" w:cs="Times New Roman"/>
          <w:b/>
          <w:color w:val="000000"/>
          <w:sz w:val="24"/>
          <w:szCs w:val="24"/>
        </w:rPr>
        <w:t>на 2021-2025</w:t>
      </w: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годы», утвержденную постановлением администрации МО «Котлас»</w:t>
      </w:r>
    </w:p>
    <w:p w14:paraId="135C2DF4" w14:textId="368B9B25" w:rsidR="002E27B5" w:rsidRPr="00D061AF" w:rsidRDefault="0040369B" w:rsidP="002E27B5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>от 27 декабря</w:t>
      </w:r>
      <w:r w:rsidR="002E27B5"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</w:t>
      </w: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>2021</w:t>
      </w:r>
      <w:r w:rsidR="002E27B5"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года</w:t>
      </w: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№ 2823</w:t>
      </w:r>
    </w:p>
    <w:p w14:paraId="525B9579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E8226C4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215DE96" w14:textId="56A7B7AA" w:rsidR="00AE0885" w:rsidRPr="00D061AF" w:rsidRDefault="00AE0885" w:rsidP="003F698F">
      <w:pPr>
        <w:pStyle w:val="ConsPlusNormal"/>
        <w:widowControl/>
        <w:ind w:firstLine="709"/>
        <w:jc w:val="both"/>
        <w:outlineLvl w:val="2"/>
        <w:rPr>
          <w:rFonts w:ascii="PT Astra Serif" w:hAnsi="PT Astra Serif" w:cs="Times New Roman"/>
          <w:color w:val="000000"/>
          <w:sz w:val="24"/>
          <w:szCs w:val="24"/>
        </w:rPr>
      </w:pPr>
      <w:r w:rsidRPr="00D061AF">
        <w:rPr>
          <w:rFonts w:ascii="PT Astra Serif" w:hAnsi="PT Astra Serif" w:cs="Times New Roman"/>
          <w:color w:val="000000"/>
          <w:sz w:val="24"/>
          <w:szCs w:val="24"/>
        </w:rPr>
        <w:t>С целью уточнения объемов финансирования</w:t>
      </w:r>
      <w:r w:rsidRPr="00D061AF">
        <w:rPr>
          <w:rFonts w:ascii="PT Astra Serif" w:hAnsi="PT Astra Serif" w:cs="Times New Roman"/>
          <w:snapToGrid w:val="0"/>
          <w:color w:val="000000"/>
          <w:sz w:val="24"/>
          <w:szCs w:val="24"/>
        </w:rPr>
        <w:t xml:space="preserve"> мероприятий муниципальной программы </w:t>
      </w:r>
      <w:r w:rsidR="002E27B5" w:rsidRPr="00D061AF">
        <w:rPr>
          <w:rFonts w:ascii="PT Astra Serif" w:hAnsi="PT Astra Serif" w:cs="Times New Roman"/>
          <w:snapToGrid w:val="0"/>
          <w:color w:val="000000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/>
          <w:sz w:val="24"/>
          <w:szCs w:val="24"/>
        </w:rPr>
        <w:t xml:space="preserve"> «Котлас» «Реализация приоритетных н</w:t>
      </w:r>
      <w:r w:rsidR="002E27B5" w:rsidRPr="00D061AF">
        <w:rPr>
          <w:rFonts w:ascii="PT Astra Serif" w:hAnsi="PT Astra Serif" w:cs="Times New Roman"/>
          <w:color w:val="000000"/>
          <w:sz w:val="24"/>
          <w:szCs w:val="24"/>
        </w:rPr>
        <w:t>аправлений в социальной сфере</w:t>
      </w:r>
      <w:r w:rsidRPr="00D061AF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2E27B5" w:rsidRPr="00D061AF">
        <w:rPr>
          <w:rFonts w:ascii="PT Astra Serif" w:hAnsi="PT Astra Serif" w:cs="Times New Roman"/>
          <w:snapToGrid w:val="0"/>
          <w:color w:val="000000"/>
          <w:sz w:val="24"/>
          <w:szCs w:val="24"/>
        </w:rPr>
        <w:t>городского округа Архангельской области</w:t>
      </w:r>
      <w:r w:rsidR="002E27B5" w:rsidRPr="00D061AF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40369B" w:rsidRPr="00D061AF">
        <w:rPr>
          <w:rFonts w:ascii="PT Astra Serif" w:hAnsi="PT Astra Serif" w:cs="Times New Roman"/>
          <w:color w:val="000000"/>
          <w:sz w:val="24"/>
          <w:szCs w:val="24"/>
        </w:rPr>
        <w:t>«Котлас» на 2021-2025</w:t>
      </w:r>
      <w:r w:rsidRPr="00D061AF">
        <w:rPr>
          <w:rFonts w:ascii="PT Astra Serif" w:hAnsi="PT Astra Serif" w:cs="Times New Roman"/>
          <w:color w:val="000000"/>
          <w:sz w:val="24"/>
          <w:szCs w:val="24"/>
        </w:rPr>
        <w:t xml:space="preserve"> годы», руководствуясь статьями 34, 37 Устава </w:t>
      </w:r>
      <w:r w:rsidR="002E27B5" w:rsidRPr="00D061AF">
        <w:rPr>
          <w:rFonts w:ascii="PT Astra Serif" w:hAnsi="PT Astra Serif" w:cs="Times New Roman"/>
          <w:color w:val="000000"/>
          <w:sz w:val="24"/>
          <w:szCs w:val="24"/>
        </w:rPr>
        <w:t>городского</w:t>
      </w:r>
      <w:r w:rsidR="00D061AF">
        <w:rPr>
          <w:rFonts w:ascii="PT Astra Serif" w:hAnsi="PT Astra Serif" w:cs="Times New Roman"/>
          <w:color w:val="000000"/>
          <w:sz w:val="24"/>
          <w:szCs w:val="24"/>
        </w:rPr>
        <w:t xml:space="preserve"> о</w:t>
      </w:r>
      <w:r w:rsidR="002E27B5" w:rsidRPr="00D061AF">
        <w:rPr>
          <w:rFonts w:ascii="PT Astra Serif" w:hAnsi="PT Astra Serif" w:cs="Times New Roman"/>
          <w:color w:val="000000"/>
          <w:sz w:val="24"/>
          <w:szCs w:val="24"/>
        </w:rPr>
        <w:t>круга</w:t>
      </w:r>
      <w:r w:rsidRPr="00D061AF">
        <w:rPr>
          <w:rFonts w:ascii="PT Astra Serif" w:hAnsi="PT Astra Serif" w:cs="Times New Roman"/>
          <w:color w:val="000000"/>
          <w:sz w:val="24"/>
          <w:szCs w:val="24"/>
        </w:rPr>
        <w:t xml:space="preserve"> «Котлас» администрация </w:t>
      </w:r>
      <w:r w:rsidR="002E27B5" w:rsidRPr="00D061AF">
        <w:rPr>
          <w:rFonts w:ascii="PT Astra Serif" w:hAnsi="PT Astra Serif" w:cs="Times New Roman"/>
          <w:color w:val="000000"/>
          <w:sz w:val="24"/>
          <w:szCs w:val="24"/>
        </w:rPr>
        <w:t>городского округа</w:t>
      </w:r>
      <w:r w:rsidRPr="00D061AF">
        <w:rPr>
          <w:rFonts w:ascii="PT Astra Serif" w:hAnsi="PT Astra Serif" w:cs="Times New Roman"/>
          <w:color w:val="000000"/>
          <w:sz w:val="24"/>
          <w:szCs w:val="24"/>
        </w:rPr>
        <w:t xml:space="preserve"> «Котлас» </w:t>
      </w:r>
      <w:r w:rsidR="00F536F4" w:rsidRPr="00D061AF">
        <w:rPr>
          <w:rFonts w:ascii="PT Astra Serif" w:hAnsi="PT Astra Serif" w:cs="Times New Roman"/>
          <w:color w:val="000000"/>
          <w:sz w:val="24"/>
          <w:szCs w:val="24"/>
        </w:rPr>
        <w:t xml:space="preserve">                        </w:t>
      </w:r>
      <w:r w:rsidRPr="00D061AF">
        <w:rPr>
          <w:rFonts w:ascii="PT Astra Serif" w:hAnsi="PT Astra Serif" w:cs="Times New Roman"/>
          <w:color w:val="000000"/>
          <w:sz w:val="24"/>
          <w:szCs w:val="24"/>
        </w:rPr>
        <w:t>п о с т а н о в л я е т:</w:t>
      </w:r>
    </w:p>
    <w:p w14:paraId="1C08C882" w14:textId="38B2BA82" w:rsidR="00AE0885" w:rsidRPr="00D061AF" w:rsidRDefault="00AE0885" w:rsidP="003F698F">
      <w:pPr>
        <w:pStyle w:val="ConsPlusNormal"/>
        <w:widowControl/>
        <w:ind w:firstLine="709"/>
        <w:jc w:val="both"/>
        <w:outlineLvl w:val="2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1. Внести в муниципальную программу </w:t>
      </w:r>
      <w:r w:rsidR="0017302E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«Реализация приоритетных направлений в социальной сфере</w:t>
      </w:r>
      <w:r w:rsidR="0017302E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Архангельской области</w:t>
      </w:r>
      <w:r w:rsidR="0040369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 «Котлас» на 2021-2025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годы», утвержденную постановлением</w:t>
      </w:r>
      <w:r w:rsidR="0040369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администрации МО «Котлас» от 27 декабря</w:t>
      </w:r>
      <w:r w:rsidR="007D64D6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40369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2021</w:t>
      </w:r>
      <w:r w:rsidR="007D64D6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года</w:t>
      </w:r>
      <w:r w:rsidR="0040369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№ 2823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(далее – Муниципальная программа) следующие изменения:</w:t>
      </w:r>
    </w:p>
    <w:p w14:paraId="1800D68F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1.1. В Паспорте Муниципальной программы:</w:t>
      </w:r>
    </w:p>
    <w:p w14:paraId="7333E052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«Объемы и источники финансирования муниципальной программы» изложить в новой редакции:</w:t>
      </w:r>
    </w:p>
    <w:p w14:paraId="2831A8B8" w14:textId="5AB14B13" w:rsidR="00AE0885" w:rsidRPr="00D061AF" w:rsidRDefault="00AE0885" w:rsidP="000778AE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Муниципальной программы – 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10056</w:t>
      </w:r>
      <w:r w:rsidR="00BB58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633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,5</w:t>
      </w:r>
      <w:r w:rsidR="001C5D18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в том числе: средства федерального бюджета –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553955,</w:t>
      </w:r>
      <w:r w:rsidR="00710E7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5594</w:t>
      </w:r>
      <w:r w:rsidR="00BB58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679,8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6C5968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3907998,3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внебюджетны</w:t>
      </w:r>
      <w:r w:rsidR="001C5D18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х источников – 0,0 тысяч рублей</w:t>
      </w:r>
      <w:r w:rsidR="00915307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.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»;</w:t>
      </w:r>
    </w:p>
    <w:p w14:paraId="1422694C" w14:textId="754BAC82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разделе 3. «Перечень Подпрограмм Муниципальной программы» Таблицу 1 «Перечень Подпрограмм Муниципальной программы» изложить в новой редакции</w:t>
      </w:r>
      <w:r w:rsidR="006974A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постановлению;</w:t>
      </w:r>
    </w:p>
    <w:p w14:paraId="072E42E8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Муниципальной программы» абзац 3 изложить в новой редакции:</w:t>
      </w:r>
    </w:p>
    <w:p w14:paraId="14C97DE6" w14:textId="05EEC8CD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Муниципальной программы – 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10056</w:t>
      </w:r>
      <w:r w:rsidR="00BB58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633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,5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553955,</w:t>
      </w:r>
      <w:r w:rsidR="009D1B57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5594</w:t>
      </w:r>
      <w:r w:rsidR="00BB58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679,8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средства бюджета </w:t>
      </w:r>
      <w:r w:rsidR="00753FEE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-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3907998,3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внебюджет</w:t>
      </w:r>
      <w:r w:rsidR="00915307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ных источников 0,0 тысяч рублей.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».</w:t>
      </w:r>
    </w:p>
    <w:p w14:paraId="10EF9C33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>1.2. В приложении № 1 к Муниципальной программе:</w:t>
      </w:r>
    </w:p>
    <w:p w14:paraId="53481A7B" w14:textId="77777777" w:rsidR="003F698F" w:rsidRPr="00D061AF" w:rsidRDefault="003F698F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в Паспорте подпрограммы «Развитие образования </w:t>
      </w:r>
      <w:r w:rsidR="00C95D1E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Муниципальной программы:</w:t>
      </w:r>
    </w:p>
    <w:p w14:paraId="102CC53E" w14:textId="4156CA8C" w:rsidR="003F698F" w:rsidRPr="00D061AF" w:rsidRDefault="003F698F" w:rsidP="003F698F">
      <w:pPr>
        <w:pStyle w:val="a6"/>
        <w:adjustRightInd w:val="0"/>
        <w:spacing w:after="0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D061AF">
        <w:rPr>
          <w:rFonts w:ascii="PT Astra Serif" w:hAnsi="PT Astra Serif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0ACB036E" w14:textId="04AFED04" w:rsidR="008A52D4" w:rsidRPr="00D061AF" w:rsidRDefault="003F698F" w:rsidP="008A52D4">
      <w:pPr>
        <w:pStyle w:val="a6"/>
        <w:adjustRightInd w:val="0"/>
        <w:spacing w:after="0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D061AF">
        <w:rPr>
          <w:rFonts w:ascii="PT Astra Serif" w:hAnsi="PT Astra Serif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915307" w:rsidRPr="00D061AF">
        <w:rPr>
          <w:rFonts w:ascii="PT Astra Serif" w:hAnsi="PT Astra Serif"/>
          <w:color w:val="000000" w:themeColor="text1"/>
          <w:sz w:val="24"/>
          <w:szCs w:val="24"/>
        </w:rPr>
        <w:t>8216630,</w:t>
      </w:r>
      <w:r w:rsidR="006009DD" w:rsidRPr="00D061AF">
        <w:rPr>
          <w:rFonts w:ascii="PT Astra Serif" w:hAnsi="PT Astra Serif"/>
          <w:color w:val="000000" w:themeColor="text1"/>
          <w:sz w:val="24"/>
          <w:szCs w:val="24"/>
        </w:rPr>
        <w:t>8</w:t>
      </w:r>
      <w:r w:rsidRPr="00D061AF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D56C5D" w:rsidRPr="00D061AF">
        <w:rPr>
          <w:rFonts w:ascii="PT Astra Serif" w:hAnsi="PT Astra Serif"/>
          <w:color w:val="000000" w:themeColor="text1"/>
          <w:sz w:val="24"/>
          <w:szCs w:val="24"/>
        </w:rPr>
        <w:t>519290,</w:t>
      </w:r>
      <w:r w:rsidR="006009DD" w:rsidRPr="00D061AF">
        <w:rPr>
          <w:rFonts w:ascii="PT Astra Serif" w:hAnsi="PT Astra Serif"/>
          <w:color w:val="000000" w:themeColor="text1"/>
          <w:sz w:val="24"/>
          <w:szCs w:val="24"/>
        </w:rPr>
        <w:t>6</w:t>
      </w:r>
      <w:r w:rsidRPr="00D061AF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D56C5D" w:rsidRPr="00D061AF">
        <w:rPr>
          <w:rFonts w:ascii="PT Astra Serif" w:hAnsi="PT Astra Serif"/>
          <w:color w:val="000000" w:themeColor="text1"/>
          <w:sz w:val="24"/>
          <w:szCs w:val="24"/>
        </w:rPr>
        <w:t>5494904,9</w:t>
      </w:r>
      <w:r w:rsidRPr="00D061AF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средства бюджета </w:t>
      </w:r>
      <w:r w:rsidR="00C95D1E" w:rsidRPr="00D061AF">
        <w:rPr>
          <w:rFonts w:ascii="PT Astra Serif" w:hAnsi="PT Astra Serif"/>
          <w:color w:val="000000" w:themeColor="text1"/>
          <w:sz w:val="24"/>
          <w:szCs w:val="24"/>
        </w:rPr>
        <w:t>городского округа</w:t>
      </w:r>
      <w:r w:rsidR="0067442D" w:rsidRPr="00D061AF">
        <w:rPr>
          <w:rFonts w:ascii="PT Astra Serif" w:hAnsi="PT Astra Serif"/>
          <w:color w:val="000000" w:themeColor="text1"/>
          <w:sz w:val="24"/>
          <w:szCs w:val="24"/>
        </w:rPr>
        <w:t xml:space="preserve"> Архангельской области</w:t>
      </w:r>
      <w:r w:rsidRPr="00D061AF">
        <w:rPr>
          <w:rFonts w:ascii="PT Astra Serif" w:hAnsi="PT Astra Serif"/>
          <w:color w:val="000000" w:themeColor="text1"/>
          <w:sz w:val="24"/>
          <w:szCs w:val="24"/>
        </w:rPr>
        <w:t xml:space="preserve"> «Котлас» – </w:t>
      </w:r>
      <w:r w:rsidR="00D56C5D" w:rsidRPr="00D061AF">
        <w:rPr>
          <w:rFonts w:ascii="PT Astra Serif" w:hAnsi="PT Astra Serif"/>
          <w:color w:val="000000" w:themeColor="text1"/>
          <w:sz w:val="24"/>
          <w:szCs w:val="24"/>
        </w:rPr>
        <w:t>2202435,3</w:t>
      </w:r>
      <w:r w:rsidRPr="00D061AF">
        <w:rPr>
          <w:rFonts w:ascii="PT Astra Serif" w:hAnsi="PT Astra Serif"/>
          <w:b/>
          <w:i/>
          <w:color w:val="000000" w:themeColor="text1"/>
          <w:sz w:val="24"/>
          <w:szCs w:val="24"/>
        </w:rPr>
        <w:t xml:space="preserve"> </w:t>
      </w:r>
      <w:r w:rsidRPr="00D061AF">
        <w:rPr>
          <w:rFonts w:ascii="PT Astra Serif" w:hAnsi="PT Astra Serif"/>
          <w:color w:val="000000" w:themeColor="text1"/>
          <w:sz w:val="24"/>
          <w:szCs w:val="24"/>
        </w:rPr>
        <w:t>тысяч рублей.»;</w:t>
      </w:r>
    </w:p>
    <w:p w14:paraId="6FF71472" w14:textId="77777777" w:rsidR="003F698F" w:rsidRPr="00D061AF" w:rsidRDefault="003F698F" w:rsidP="0089376A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третий изложить в новой редакции:</w:t>
      </w:r>
    </w:p>
    <w:p w14:paraId="74D85D36" w14:textId="3DD7FD7F" w:rsidR="003F698F" w:rsidRPr="00D061AF" w:rsidRDefault="003F698F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D56C5D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8216630,</w:t>
      </w:r>
      <w:r w:rsidR="00E1447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8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D56C5D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519290,</w:t>
      </w:r>
      <w:r w:rsidR="00E1447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D56C5D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5494904,9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2D10DD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D56C5D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2202435,3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 </w:t>
      </w:r>
    </w:p>
    <w:p w14:paraId="2B7CCDF0" w14:textId="77777777" w:rsidR="003F698F" w:rsidRPr="00D061AF" w:rsidRDefault="003F698F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«Развитие образования </w:t>
      </w:r>
      <w:r w:rsidR="00884CF8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изложить в новой редакции, согласно приложению № 2 к настоящему постановлению.</w:t>
      </w:r>
    </w:p>
    <w:p w14:paraId="6DF54AA0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1.3. В приложении № 2 к Муниципальной программе:</w:t>
      </w:r>
    </w:p>
    <w:p w14:paraId="763CBF2D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</w:t>
      </w:r>
      <w:r w:rsidR="008502C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мы «Спортивный город – здоровый 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город» Муниципальной программы:</w:t>
      </w:r>
    </w:p>
    <w:p w14:paraId="137F26A6" w14:textId="77777777" w:rsidR="00AE0885" w:rsidRPr="00D061AF" w:rsidRDefault="00AE0885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0FFA672E" w14:textId="1BB5023A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50745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325529,3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50745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11645,0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D6307C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50745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313884,3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1454FE05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1BA1C309" w14:textId="2EA85CD0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50745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325529,3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0,0 тысяч рублей, средства бюджета Архангельской области – </w:t>
      </w:r>
      <w:r w:rsidR="0050745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11645,0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B94A2C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50745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313884,3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27C3F31B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«Спортивный город – здоровый город» изложить в новой редакции, согласно приложению № </w:t>
      </w:r>
      <w:r w:rsidR="00D65A3C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23522D8D" w14:textId="77777777" w:rsidR="00AE0885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1.4. В приложении № 3 к Муниципальной программе:</w:t>
      </w:r>
    </w:p>
    <w:p w14:paraId="22AA2C6D" w14:textId="77777777" w:rsidR="005F4D51" w:rsidRPr="00D061AF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</w:t>
      </w:r>
      <w:r w:rsidR="005F4D5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Паспорте подпрограммы «Котлас культурный» Муниципальной программы:</w:t>
      </w:r>
    </w:p>
    <w:p w14:paraId="75771FE5" w14:textId="77777777" w:rsidR="005F4D51" w:rsidRPr="00D061AF" w:rsidRDefault="005F4D51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760F8D46" w14:textId="5F7EAD0F" w:rsidR="005F4D51" w:rsidRPr="00D061AF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9541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1231</w:t>
      </w:r>
      <w:r w:rsidR="00BA4E9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050,0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9541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29562,8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bookmarkStart w:id="0" w:name="_Hlk102638127"/>
      <w:r w:rsidR="009541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BA4E9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5331,6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bookmarkEnd w:id="0"/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средства бюджета городского округа Архангельской области «Котлас» – </w:t>
      </w:r>
      <w:r w:rsidR="0095416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1176155,6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4DABA4A6" w14:textId="77777777" w:rsidR="005F4D51" w:rsidRPr="00D061AF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4CD855A3" w14:textId="49A6DF94" w:rsidR="005F4D51" w:rsidRPr="00D061AF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  </w:t>
      </w:r>
      <w:r w:rsidR="00E9389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1231</w:t>
      </w:r>
      <w:r w:rsidR="00BA4E9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050,0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</w:t>
      </w:r>
      <w:r w:rsidR="00E9389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29562,8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BA4E9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25331,6 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средства бюджета городского округа Архангельской области «Котлас» – </w:t>
      </w:r>
      <w:r w:rsidR="00E9389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1176155,6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225A262F" w14:textId="29C399E2" w:rsidR="005F4D51" w:rsidRPr="00D061AF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- приложение № 1 к подпрограмме «</w:t>
      </w:r>
      <w:r w:rsidR="008559D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Котлас</w:t>
      </w:r>
      <w:r w:rsidR="006848E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8559D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культурный»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изложить в новой редакции, согласно приложению № </w:t>
      </w:r>
      <w:r w:rsidR="007D4364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6417C153" w14:textId="34225A25" w:rsidR="008D24FE" w:rsidRPr="00D061AF" w:rsidRDefault="008D24FE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1.5. В приложении № </w:t>
      </w:r>
      <w:r w:rsidR="00B41C5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муниципальной программе:</w:t>
      </w:r>
    </w:p>
    <w:p w14:paraId="30635C8D" w14:textId="42B8E01E" w:rsidR="001E742E" w:rsidRPr="00D061AF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>- в Паспорте подпрограммы «Развитие туризма на территории городского округа Архангельской области «Котлас» Муниципальной программы:</w:t>
      </w:r>
    </w:p>
    <w:p w14:paraId="6EE25DE1" w14:textId="77777777" w:rsidR="001E742E" w:rsidRPr="00D061AF" w:rsidRDefault="001E742E" w:rsidP="0082449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7D388253" w14:textId="3B1612AF" w:rsidR="001E742E" w:rsidRPr="00D061AF" w:rsidRDefault="001E742E" w:rsidP="001E742E">
      <w:pPr>
        <w:pStyle w:val="ConsPlusNormal"/>
        <w:widowControl/>
        <w:ind w:firstLine="708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</w:t>
      </w:r>
      <w:r w:rsidR="00700672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п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одпрограммы – </w:t>
      </w:r>
      <w:r w:rsidR="007F29C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4275,7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7F29C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53,9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7F29C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4221,8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7BEC9CDD" w14:textId="77777777" w:rsidR="001E742E" w:rsidRPr="00D061AF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разделе 5. «Ресурсное (финансовое) обеспечение Подпрограммы» абзац второй изложить в новой редакции:</w:t>
      </w:r>
    </w:p>
    <w:p w14:paraId="3F4ACE16" w14:textId="1A9CEA07" w:rsidR="001E742E" w:rsidRPr="00D061AF" w:rsidRDefault="001E742E" w:rsidP="001E742E">
      <w:pPr>
        <w:pStyle w:val="ConsPlusNormal"/>
        <w:widowControl/>
        <w:ind w:firstLine="708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  </w:t>
      </w:r>
      <w:r w:rsidR="005B57B4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4275,7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0,0 тысяч рублей, средства бюджета Архангельской области – </w:t>
      </w:r>
      <w:r w:rsidR="005B57B4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53,9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5B57B4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4221,8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33D0E8F3" w14:textId="336D1F26" w:rsidR="001E742E" w:rsidRPr="00D061AF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«Развитие туризма на территории городского округа Архангельской области «Котлас» изложить в новой редакции, согласно приложению № </w:t>
      </w:r>
      <w:r w:rsidR="00C74DB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постановлению;</w:t>
      </w:r>
    </w:p>
    <w:p w14:paraId="70858CA3" w14:textId="4179541B" w:rsidR="001E742E" w:rsidRPr="00D061AF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2 к подпрограмме «Развитие туризма на территории городского округа Архангельской области «Котлас» изложить в новой редакции, согласно приложению № </w:t>
      </w:r>
      <w:r w:rsidR="00C74DBB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777795FD" w14:textId="00238E4F" w:rsidR="00AE0885" w:rsidRPr="00D061AF" w:rsidRDefault="00AE0885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1.</w:t>
      </w:r>
      <w:r w:rsidR="00EE3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. В приложении № 5 к Муниципальной программе:</w:t>
      </w:r>
    </w:p>
    <w:p w14:paraId="4A511ECE" w14:textId="77777777" w:rsidR="000975FD" w:rsidRPr="00D061AF" w:rsidRDefault="000975FD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подпрограммы «Котлас Молодежный» Муниципальной программы:</w:t>
      </w:r>
    </w:p>
    <w:p w14:paraId="25179BE8" w14:textId="77777777" w:rsidR="000975FD" w:rsidRPr="00D061AF" w:rsidRDefault="000975FD" w:rsidP="000975FD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15C4C94F" w14:textId="0D948216" w:rsidR="000975FD" w:rsidRPr="00D061AF" w:rsidRDefault="000975FD" w:rsidP="000975FD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82597,6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5102,0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7370,3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70125,3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396B8DC1" w14:textId="77777777" w:rsidR="000975FD" w:rsidRPr="00D061AF" w:rsidRDefault="000975FD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6E29E579" w14:textId="43D6AF8F" w:rsidR="000975FD" w:rsidRPr="00D061AF" w:rsidRDefault="000975FD" w:rsidP="00A2591E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82597,6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5102,0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7370,3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ED77FC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E4651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70125,3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58555448" w14:textId="061FE007" w:rsidR="000975FD" w:rsidRPr="00D061AF" w:rsidRDefault="000975FD" w:rsidP="00A2591E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«Котлас Молодёжный» изложить в новой редакции, согласно приложению № </w:t>
      </w:r>
      <w:r w:rsidR="0031198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62957B5A" w14:textId="423D8888" w:rsidR="002A7DDC" w:rsidRPr="00D061AF" w:rsidRDefault="002A7DDC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2.</w:t>
      </w:r>
      <w:r w:rsidR="005E5F27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Настоящее постановление вступает в силу со дня его подписания.</w:t>
      </w:r>
    </w:p>
    <w:p w14:paraId="64515164" w14:textId="2EBB4D69" w:rsidR="00AE0885" w:rsidRPr="00D061AF" w:rsidRDefault="004E3DBE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</w:t>
      </w:r>
      <w:r w:rsidR="00C103AF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</w:t>
      </w:r>
      <w:r w:rsidR="006974A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»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в информационно-телекоммуникационной сети «Интернет».</w:t>
      </w:r>
    </w:p>
    <w:p w14:paraId="1EAC5168" w14:textId="3D39E922" w:rsidR="00AE0885" w:rsidRPr="00D061AF" w:rsidRDefault="004E3DBE" w:rsidP="003F698F">
      <w:pPr>
        <w:snapToGrid w:val="0"/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Контроль за исполнением настоящего постановления возложить на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заместителя Главы</w:t>
      </w:r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«Котлас», начальника</w:t>
      </w:r>
      <w:r w:rsidR="00A3081E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Управления по социальным вопросам администрации</w:t>
      </w:r>
      <w:r w:rsidR="00C103AF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Архангельской области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</w:t>
      </w:r>
      <w:proofErr w:type="spellStart"/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Авилкина</w:t>
      </w:r>
      <w:proofErr w:type="spellEnd"/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Э.В.</w:t>
      </w:r>
    </w:p>
    <w:p w14:paraId="53BBC1B8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039FDC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718A9F7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1"/>
        <w:gridCol w:w="4641"/>
      </w:tblGrid>
      <w:tr w:rsidR="00B10F96" w:rsidRPr="00D061AF" w14:paraId="34F2D80E" w14:textId="77777777" w:rsidTr="00B81857">
        <w:tc>
          <w:tcPr>
            <w:tcW w:w="4221" w:type="dxa"/>
          </w:tcPr>
          <w:p w14:paraId="683D49E9" w14:textId="69AD7237" w:rsidR="00B10F96" w:rsidRPr="00D061AF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1558E9"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1249600A" w14:textId="77777777" w:rsidR="00B10F96" w:rsidRPr="00D061AF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641" w:type="dxa"/>
          </w:tcPr>
          <w:p w14:paraId="23F624CB" w14:textId="77777777" w:rsidR="00B10F96" w:rsidRPr="00D061AF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9B0A43C" w14:textId="77777777" w:rsidR="00B10F96" w:rsidRDefault="00B10F96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1558E9"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  <w:p w14:paraId="75DC232B" w14:textId="77777777" w:rsidR="00B81857" w:rsidRDefault="00B81857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01F2E9EB" w14:textId="77777777" w:rsidR="00B81857" w:rsidRDefault="00B81857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34EE4C53" w14:textId="193E3138" w:rsidR="00B81857" w:rsidRPr="00D061AF" w:rsidRDefault="00B81857" w:rsidP="00B8185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7B784E2E" w14:textId="16C94B35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1" w:name="_GoBack"/>
      <w:bookmarkEnd w:id="1"/>
    </w:p>
    <w:sectPr w:rsidR="00352827" w:rsidSect="00D061AF">
      <w:pgSz w:w="11906" w:h="16838"/>
      <w:pgMar w:top="851" w:right="155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D"/>
    <w:rsid w:val="00007A2D"/>
    <w:rsid w:val="0001554F"/>
    <w:rsid w:val="00045591"/>
    <w:rsid w:val="00046A52"/>
    <w:rsid w:val="0005633D"/>
    <w:rsid w:val="00060785"/>
    <w:rsid w:val="000778AE"/>
    <w:rsid w:val="000975FD"/>
    <w:rsid w:val="000A6315"/>
    <w:rsid w:val="000B5AEE"/>
    <w:rsid w:val="000C7B25"/>
    <w:rsid w:val="000E3319"/>
    <w:rsid w:val="00122290"/>
    <w:rsid w:val="001341B6"/>
    <w:rsid w:val="001341F9"/>
    <w:rsid w:val="00145571"/>
    <w:rsid w:val="001558E9"/>
    <w:rsid w:val="001623C4"/>
    <w:rsid w:val="0017302E"/>
    <w:rsid w:val="00180854"/>
    <w:rsid w:val="001909DE"/>
    <w:rsid w:val="00192890"/>
    <w:rsid w:val="0019366A"/>
    <w:rsid w:val="001A095C"/>
    <w:rsid w:val="001A7D9D"/>
    <w:rsid w:val="001A7E4C"/>
    <w:rsid w:val="001C5D18"/>
    <w:rsid w:val="001D06ED"/>
    <w:rsid w:val="001E26D0"/>
    <w:rsid w:val="001E5FD8"/>
    <w:rsid w:val="001E742E"/>
    <w:rsid w:val="00205356"/>
    <w:rsid w:val="00222A93"/>
    <w:rsid w:val="00234D0F"/>
    <w:rsid w:val="00234F13"/>
    <w:rsid w:val="00241EB1"/>
    <w:rsid w:val="00272709"/>
    <w:rsid w:val="002923A3"/>
    <w:rsid w:val="002A7DDC"/>
    <w:rsid w:val="002D10DD"/>
    <w:rsid w:val="002D766E"/>
    <w:rsid w:val="002D7BA8"/>
    <w:rsid w:val="002E27B5"/>
    <w:rsid w:val="00311981"/>
    <w:rsid w:val="00317909"/>
    <w:rsid w:val="00325E7D"/>
    <w:rsid w:val="00335738"/>
    <w:rsid w:val="00337678"/>
    <w:rsid w:val="00352827"/>
    <w:rsid w:val="00376E88"/>
    <w:rsid w:val="0038113B"/>
    <w:rsid w:val="003A36BB"/>
    <w:rsid w:val="003E338B"/>
    <w:rsid w:val="003F698F"/>
    <w:rsid w:val="0040369B"/>
    <w:rsid w:val="00423B66"/>
    <w:rsid w:val="00431A17"/>
    <w:rsid w:val="00435C0A"/>
    <w:rsid w:val="00451403"/>
    <w:rsid w:val="004812C6"/>
    <w:rsid w:val="00492F2F"/>
    <w:rsid w:val="004D4A0E"/>
    <w:rsid w:val="004D6FCE"/>
    <w:rsid w:val="004E3DBE"/>
    <w:rsid w:val="004F6FDA"/>
    <w:rsid w:val="004F7D9D"/>
    <w:rsid w:val="00507455"/>
    <w:rsid w:val="00511EB5"/>
    <w:rsid w:val="00527BFD"/>
    <w:rsid w:val="005318DF"/>
    <w:rsid w:val="00535D38"/>
    <w:rsid w:val="00536582"/>
    <w:rsid w:val="00541514"/>
    <w:rsid w:val="00556AC6"/>
    <w:rsid w:val="00581096"/>
    <w:rsid w:val="00583A4E"/>
    <w:rsid w:val="00585F94"/>
    <w:rsid w:val="005904FA"/>
    <w:rsid w:val="005979CE"/>
    <w:rsid w:val="005A145D"/>
    <w:rsid w:val="005B35DB"/>
    <w:rsid w:val="005B57B4"/>
    <w:rsid w:val="005C3C68"/>
    <w:rsid w:val="005C6440"/>
    <w:rsid w:val="005E426A"/>
    <w:rsid w:val="005E5F27"/>
    <w:rsid w:val="005F4D51"/>
    <w:rsid w:val="005F567C"/>
    <w:rsid w:val="006009DD"/>
    <w:rsid w:val="0060301F"/>
    <w:rsid w:val="0061628B"/>
    <w:rsid w:val="006343C9"/>
    <w:rsid w:val="00656E48"/>
    <w:rsid w:val="00661405"/>
    <w:rsid w:val="00664DC6"/>
    <w:rsid w:val="0067442D"/>
    <w:rsid w:val="006848E1"/>
    <w:rsid w:val="006869D5"/>
    <w:rsid w:val="0069093B"/>
    <w:rsid w:val="00690C65"/>
    <w:rsid w:val="00695893"/>
    <w:rsid w:val="00695F06"/>
    <w:rsid w:val="006974A1"/>
    <w:rsid w:val="006A6965"/>
    <w:rsid w:val="006C5968"/>
    <w:rsid w:val="006D50BF"/>
    <w:rsid w:val="00700672"/>
    <w:rsid w:val="0070560B"/>
    <w:rsid w:val="00710E70"/>
    <w:rsid w:val="00724069"/>
    <w:rsid w:val="007457DD"/>
    <w:rsid w:val="00753FEE"/>
    <w:rsid w:val="00776169"/>
    <w:rsid w:val="0078352E"/>
    <w:rsid w:val="007C532A"/>
    <w:rsid w:val="007C726A"/>
    <w:rsid w:val="007D4364"/>
    <w:rsid w:val="007D64D6"/>
    <w:rsid w:val="007F29C5"/>
    <w:rsid w:val="007F3DE0"/>
    <w:rsid w:val="007F6335"/>
    <w:rsid w:val="008149D0"/>
    <w:rsid w:val="0082449F"/>
    <w:rsid w:val="008502C9"/>
    <w:rsid w:val="008559D9"/>
    <w:rsid w:val="00856D98"/>
    <w:rsid w:val="00856F8B"/>
    <w:rsid w:val="008637F2"/>
    <w:rsid w:val="008654AC"/>
    <w:rsid w:val="008665C0"/>
    <w:rsid w:val="00876DDD"/>
    <w:rsid w:val="008777BD"/>
    <w:rsid w:val="00884CF8"/>
    <w:rsid w:val="0089376A"/>
    <w:rsid w:val="008A52D4"/>
    <w:rsid w:val="008B0CB5"/>
    <w:rsid w:val="008C24B0"/>
    <w:rsid w:val="008D24FE"/>
    <w:rsid w:val="008F2106"/>
    <w:rsid w:val="00915307"/>
    <w:rsid w:val="00924712"/>
    <w:rsid w:val="00953C66"/>
    <w:rsid w:val="00954162"/>
    <w:rsid w:val="0096269F"/>
    <w:rsid w:val="00977F1C"/>
    <w:rsid w:val="00985970"/>
    <w:rsid w:val="009A6CBE"/>
    <w:rsid w:val="009B17D0"/>
    <w:rsid w:val="009B5EC9"/>
    <w:rsid w:val="009D02DE"/>
    <w:rsid w:val="009D1B57"/>
    <w:rsid w:val="009E3693"/>
    <w:rsid w:val="009E6947"/>
    <w:rsid w:val="00A2591E"/>
    <w:rsid w:val="00A3081E"/>
    <w:rsid w:val="00A34426"/>
    <w:rsid w:val="00A93FF7"/>
    <w:rsid w:val="00A95D99"/>
    <w:rsid w:val="00AC14C6"/>
    <w:rsid w:val="00AE0885"/>
    <w:rsid w:val="00AE495B"/>
    <w:rsid w:val="00AF4DFA"/>
    <w:rsid w:val="00B06715"/>
    <w:rsid w:val="00B10F96"/>
    <w:rsid w:val="00B167EB"/>
    <w:rsid w:val="00B41C52"/>
    <w:rsid w:val="00B6213F"/>
    <w:rsid w:val="00B67A97"/>
    <w:rsid w:val="00B71AAF"/>
    <w:rsid w:val="00B81857"/>
    <w:rsid w:val="00B94A2C"/>
    <w:rsid w:val="00BA4E99"/>
    <w:rsid w:val="00BB2F81"/>
    <w:rsid w:val="00BB50C8"/>
    <w:rsid w:val="00BB55AD"/>
    <w:rsid w:val="00BB5862"/>
    <w:rsid w:val="00BC4E1F"/>
    <w:rsid w:val="00BD14E1"/>
    <w:rsid w:val="00BD6ED9"/>
    <w:rsid w:val="00C103AF"/>
    <w:rsid w:val="00C21E8E"/>
    <w:rsid w:val="00C64C5F"/>
    <w:rsid w:val="00C7235C"/>
    <w:rsid w:val="00C74DBB"/>
    <w:rsid w:val="00C77AC2"/>
    <w:rsid w:val="00C832F8"/>
    <w:rsid w:val="00C93B95"/>
    <w:rsid w:val="00C95D1E"/>
    <w:rsid w:val="00CD491E"/>
    <w:rsid w:val="00CD5AFD"/>
    <w:rsid w:val="00CE6C6E"/>
    <w:rsid w:val="00D02CC2"/>
    <w:rsid w:val="00D061AF"/>
    <w:rsid w:val="00D23C46"/>
    <w:rsid w:val="00D467AE"/>
    <w:rsid w:val="00D56C5D"/>
    <w:rsid w:val="00D60CF2"/>
    <w:rsid w:val="00D61ACE"/>
    <w:rsid w:val="00D6307C"/>
    <w:rsid w:val="00D65A3C"/>
    <w:rsid w:val="00D97BBE"/>
    <w:rsid w:val="00DB6E47"/>
    <w:rsid w:val="00DF094E"/>
    <w:rsid w:val="00DF7982"/>
    <w:rsid w:val="00E0779C"/>
    <w:rsid w:val="00E1447B"/>
    <w:rsid w:val="00E24B07"/>
    <w:rsid w:val="00E26706"/>
    <w:rsid w:val="00E40455"/>
    <w:rsid w:val="00E46511"/>
    <w:rsid w:val="00E54078"/>
    <w:rsid w:val="00E776A0"/>
    <w:rsid w:val="00E85343"/>
    <w:rsid w:val="00E93895"/>
    <w:rsid w:val="00E95B97"/>
    <w:rsid w:val="00ED77FC"/>
    <w:rsid w:val="00EE3440"/>
    <w:rsid w:val="00F070ED"/>
    <w:rsid w:val="00F1345D"/>
    <w:rsid w:val="00F46482"/>
    <w:rsid w:val="00F536F4"/>
    <w:rsid w:val="00F84927"/>
    <w:rsid w:val="00F94B9B"/>
    <w:rsid w:val="00F979F4"/>
    <w:rsid w:val="00FB05BE"/>
    <w:rsid w:val="00FE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C99F"/>
  <w15:docId w15:val="{E610D3BE-9A3A-49FD-BC57-887B88DA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AE0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4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B9B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3F69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F698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4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316</cp:revision>
  <cp:lastPrinted>2022-05-05T13:58:00Z</cp:lastPrinted>
  <dcterms:created xsi:type="dcterms:W3CDTF">2020-01-04T12:49:00Z</dcterms:created>
  <dcterms:modified xsi:type="dcterms:W3CDTF">2022-05-12T07:18:00Z</dcterms:modified>
</cp:coreProperties>
</file>